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B1" w:rsidRPr="00110D26" w:rsidRDefault="00110D26" w:rsidP="00110D26">
      <w:pPr>
        <w:shd w:val="clear" w:color="auto" w:fill="FFFFFF"/>
        <w:spacing w:before="120" w:after="100" w:afterAutospacing="1" w:line="240" w:lineRule="auto"/>
        <w:jc w:val="right"/>
        <w:rPr>
          <w:rFonts w:asciiTheme="majorHAnsi" w:eastAsia="Times New Roman" w:hAnsiTheme="majorHAnsi" w:cstheme="majorHAnsi"/>
          <w:color w:val="222222"/>
          <w:sz w:val="24"/>
          <w:szCs w:val="26"/>
          <w:lang w:val="en-US" w:eastAsia="vi-VN"/>
        </w:rPr>
      </w:pPr>
      <w:proofErr w:type="spellStart"/>
      <w:r>
        <w:rPr>
          <w:rFonts w:asciiTheme="majorHAnsi" w:eastAsia="Times New Roman" w:hAnsiTheme="majorHAnsi" w:cstheme="majorHAnsi"/>
          <w:b/>
          <w:bCs/>
          <w:color w:val="222222"/>
          <w:sz w:val="24"/>
          <w:szCs w:val="26"/>
          <w:lang w:val="en-US" w:eastAsia="vi-VN"/>
        </w:rPr>
        <w:t>Mẫu</w:t>
      </w:r>
      <w:proofErr w:type="spellEnd"/>
      <w:r>
        <w:rPr>
          <w:rFonts w:asciiTheme="majorHAnsi" w:eastAsia="Times New Roman" w:hAnsiTheme="majorHAnsi" w:cstheme="majorHAnsi"/>
          <w:b/>
          <w:bCs/>
          <w:color w:val="222222"/>
          <w:sz w:val="24"/>
          <w:szCs w:val="26"/>
          <w:lang w:val="en-US" w:eastAsia="vi-VN"/>
        </w:rPr>
        <w:t xml:space="preserve"> </w:t>
      </w:r>
      <w:proofErr w:type="spellStart"/>
      <w:r>
        <w:rPr>
          <w:rFonts w:asciiTheme="majorHAnsi" w:eastAsia="Times New Roman" w:hAnsiTheme="majorHAnsi" w:cstheme="majorHAnsi"/>
          <w:b/>
          <w:bCs/>
          <w:color w:val="222222"/>
          <w:sz w:val="24"/>
          <w:szCs w:val="26"/>
          <w:lang w:val="en-US" w:eastAsia="vi-VN"/>
        </w:rPr>
        <w:t>số</w:t>
      </w:r>
      <w:proofErr w:type="spellEnd"/>
      <w:r>
        <w:rPr>
          <w:rFonts w:asciiTheme="majorHAnsi" w:eastAsia="Times New Roman" w:hAnsiTheme="majorHAnsi" w:cstheme="majorHAnsi"/>
          <w:b/>
          <w:bCs/>
          <w:color w:val="222222"/>
          <w:sz w:val="24"/>
          <w:szCs w:val="26"/>
          <w:lang w:val="en-US" w:eastAsia="vi-VN"/>
        </w:rPr>
        <w:t xml:space="preserve"> 41</w:t>
      </w:r>
    </w:p>
    <w:p w:rsidR="00A802B1" w:rsidRPr="00A84691" w:rsidRDefault="00A802B1" w:rsidP="00A802B1">
      <w:pPr>
        <w:shd w:val="clear" w:color="auto" w:fill="FFFFFF"/>
        <w:spacing w:before="120" w:after="100" w:afterAutospacing="1" w:line="240" w:lineRule="auto"/>
        <w:jc w:val="center"/>
        <w:rPr>
          <w:rFonts w:asciiTheme="majorHAnsi" w:eastAsia="Times New Roman" w:hAnsiTheme="majorHAnsi" w:cstheme="majorHAnsi"/>
          <w:color w:val="222222"/>
          <w:sz w:val="26"/>
          <w:szCs w:val="26"/>
          <w:lang w:eastAsia="vi-VN"/>
        </w:rPr>
      </w:pPr>
      <w:r w:rsidRPr="00A84691">
        <w:rPr>
          <w:rFonts w:asciiTheme="majorHAnsi" w:eastAsia="Times New Roman" w:hAnsiTheme="majorHAnsi" w:cstheme="majorHAnsi"/>
          <w:b/>
          <w:bCs/>
          <w:color w:val="222222"/>
          <w:sz w:val="26"/>
          <w:szCs w:val="26"/>
          <w:lang w:eastAsia="vi-VN"/>
        </w:rPr>
        <w:t>GIẤY ĐĂNG KÝ MÃ SỐ GIAO DỊCH CHỨNG KHOÁN</w:t>
      </w:r>
    </w:p>
    <w:p w:rsidR="00A802B1" w:rsidRPr="003453D2" w:rsidRDefault="00A802B1" w:rsidP="00015E2C">
      <w:pPr>
        <w:shd w:val="clear" w:color="auto" w:fill="FFFFFF"/>
        <w:spacing w:before="120" w:after="100" w:afterAutospacing="1" w:line="240" w:lineRule="auto"/>
        <w:jc w:val="center"/>
        <w:rPr>
          <w:rFonts w:asciiTheme="majorHAnsi" w:eastAsia="Times New Roman" w:hAnsiTheme="majorHAnsi" w:cstheme="majorHAnsi"/>
          <w:color w:val="222222"/>
          <w:sz w:val="26"/>
          <w:szCs w:val="26"/>
          <w:lang w:eastAsia="vi-VN"/>
        </w:rPr>
      </w:pPr>
      <w:r w:rsidRPr="00A84691">
        <w:rPr>
          <w:rFonts w:asciiTheme="majorHAnsi" w:eastAsia="Times New Roman" w:hAnsiTheme="majorHAnsi" w:cstheme="majorHAnsi"/>
          <w:color w:val="222222"/>
          <w:sz w:val="26"/>
          <w:szCs w:val="26"/>
          <w:lang w:eastAsia="vi-VN"/>
        </w:rPr>
        <w:t xml:space="preserve">Kính gửi: </w:t>
      </w:r>
      <w:r w:rsidR="00015E2C" w:rsidRPr="003453D2">
        <w:rPr>
          <w:rFonts w:asciiTheme="majorHAnsi" w:eastAsia="Times New Roman" w:hAnsiTheme="majorHAnsi" w:cstheme="majorHAnsi"/>
          <w:color w:val="222222"/>
          <w:sz w:val="26"/>
          <w:szCs w:val="26"/>
          <w:lang w:eastAsia="vi-VN"/>
        </w:rPr>
        <w:t>Trung tâm Lưu ký Chứng khoán Việt Nam</w:t>
      </w:r>
    </w:p>
    <w:tbl>
      <w:tblPr>
        <w:tblW w:w="5191" w:type="pct"/>
        <w:shd w:val="clear" w:color="auto" w:fill="FFFFFF"/>
        <w:tblCellMar>
          <w:left w:w="0" w:type="dxa"/>
          <w:right w:w="0" w:type="dxa"/>
        </w:tblCellMar>
        <w:tblLook w:val="04A0" w:firstRow="1" w:lastRow="0" w:firstColumn="1" w:lastColumn="0" w:noHBand="0" w:noVBand="1"/>
      </w:tblPr>
      <w:tblGrid>
        <w:gridCol w:w="9369"/>
      </w:tblGrid>
      <w:tr w:rsidR="005503C6" w:rsidRPr="00A84691" w:rsidTr="003453D2">
        <w:tc>
          <w:tcPr>
            <w:tcW w:w="5000" w:type="pct"/>
            <w:tcBorders>
              <w:top w:val="single" w:sz="8" w:space="0" w:color="auto"/>
              <w:left w:val="single" w:sz="8" w:space="0" w:color="auto"/>
              <w:bottom w:val="single" w:sz="8" w:space="0" w:color="auto"/>
              <w:right w:val="single" w:sz="8" w:space="0" w:color="auto"/>
            </w:tcBorders>
            <w:shd w:val="clear" w:color="auto" w:fill="FFFFFF"/>
            <w:vAlign w:val="bottom"/>
          </w:tcPr>
          <w:tbl>
            <w:tblPr>
              <w:tblW w:w="9329" w:type="dxa"/>
              <w:shd w:val="clear" w:color="auto" w:fill="FFFFFF"/>
              <w:tblCellMar>
                <w:left w:w="0" w:type="dxa"/>
                <w:right w:w="0" w:type="dxa"/>
              </w:tblCellMar>
              <w:tblLook w:val="04A0" w:firstRow="1" w:lastRow="0" w:firstColumn="1" w:lastColumn="0" w:noHBand="0" w:noVBand="1"/>
            </w:tblPr>
            <w:tblGrid>
              <w:gridCol w:w="2960"/>
              <w:gridCol w:w="1524"/>
              <w:gridCol w:w="1793"/>
              <w:gridCol w:w="3052"/>
            </w:tblGrid>
            <w:tr w:rsidR="009202F3" w:rsidRPr="009202F3" w:rsidTr="003453D2">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9202F3" w:rsidRPr="003453D2" w:rsidRDefault="009202F3" w:rsidP="00930B2B">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 Tên: </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30B2B">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2. Giấy phép thành lập và hoạt động/Giấy chứng nhận đăng ký kinh doanh</w:t>
                  </w:r>
                  <w:r w:rsidR="003453D2" w:rsidRPr="003453D2">
                    <w:rPr>
                      <w:rFonts w:asciiTheme="majorHAnsi" w:eastAsia="Times New Roman" w:hAnsiTheme="majorHAnsi" w:cstheme="majorHAnsi"/>
                      <w:color w:val="222222"/>
                      <w:sz w:val="26"/>
                      <w:szCs w:val="26"/>
                      <w:lang w:eastAsia="vi-VN"/>
                    </w:rPr>
                    <w:t xml:space="preserve">: </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30B2B">
                  <w:pPr>
                    <w:spacing w:before="120" w:after="100" w:afterAutospacing="1" w:line="240" w:lineRule="auto"/>
                    <w:rPr>
                      <w:rFonts w:asciiTheme="majorHAnsi" w:eastAsia="Times New Roman" w:hAnsiTheme="majorHAnsi" w:cstheme="majorHAnsi"/>
                      <w:color w:val="222222"/>
                      <w:sz w:val="26"/>
                      <w:szCs w:val="26"/>
                      <w:lang w:val="en-US" w:eastAsia="vi-VN"/>
                    </w:rPr>
                  </w:pPr>
                  <w:r w:rsidRPr="003453D2">
                    <w:rPr>
                      <w:rFonts w:asciiTheme="majorHAnsi" w:eastAsia="Times New Roman" w:hAnsiTheme="majorHAnsi" w:cstheme="majorHAnsi"/>
                      <w:color w:val="222222"/>
                      <w:sz w:val="26"/>
                      <w:szCs w:val="26"/>
                      <w:lang w:eastAsia="vi-VN"/>
                    </w:rPr>
                    <w:t>3. Ngày thành lập</w:t>
                  </w:r>
                  <w:r w:rsidR="003453D2" w:rsidRPr="003453D2">
                    <w:rPr>
                      <w:rFonts w:asciiTheme="majorHAnsi" w:eastAsia="Times New Roman" w:hAnsiTheme="majorHAnsi" w:cstheme="majorHAnsi"/>
                      <w:color w:val="222222"/>
                      <w:sz w:val="26"/>
                      <w:szCs w:val="26"/>
                      <w:lang w:val="en-US" w:eastAsia="vi-VN"/>
                    </w:rPr>
                    <w:t xml:space="preserve">: </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30B2B">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4. Quốc gia hoặc vùng lãnh thổ nơi đăng ký hoạt động</w:t>
                  </w:r>
                  <w:r w:rsidR="003453D2" w:rsidRPr="003453D2">
                    <w:rPr>
                      <w:rFonts w:asciiTheme="majorHAnsi" w:eastAsia="Times New Roman" w:hAnsiTheme="majorHAnsi" w:cstheme="majorHAnsi"/>
                      <w:color w:val="222222"/>
                      <w:sz w:val="26"/>
                      <w:szCs w:val="26"/>
                      <w:lang w:eastAsia="vi-VN"/>
                    </w:rPr>
                    <w:t xml:space="preserve">: </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30B2B">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5. Địa chỉ trụ sở chính</w:t>
                  </w:r>
                  <w:r w:rsidR="003453D2" w:rsidRPr="003453D2">
                    <w:rPr>
                      <w:rFonts w:asciiTheme="majorHAnsi" w:eastAsia="Times New Roman" w:hAnsiTheme="majorHAnsi" w:cstheme="majorHAnsi"/>
                      <w:color w:val="222222"/>
                      <w:sz w:val="26"/>
                      <w:szCs w:val="26"/>
                      <w:lang w:eastAsia="vi-VN"/>
                    </w:rPr>
                    <w:t xml:space="preserve">: </w:t>
                  </w:r>
                </w:p>
              </w:tc>
            </w:tr>
            <w:tr w:rsidR="009202F3" w:rsidRPr="009202F3" w:rsidTr="003453D2">
              <w:trPr>
                <w:trHeight w:val="43"/>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30B2B">
                  <w:pPr>
                    <w:spacing w:before="120" w:after="100" w:afterAutospacing="1" w:line="240" w:lineRule="auto"/>
                    <w:rPr>
                      <w:rFonts w:asciiTheme="majorHAnsi" w:eastAsia="Times New Roman" w:hAnsiTheme="majorHAnsi" w:cstheme="majorHAnsi"/>
                      <w:color w:val="222222"/>
                      <w:sz w:val="26"/>
                      <w:szCs w:val="26"/>
                      <w:lang w:val="en-US" w:eastAsia="vi-VN"/>
                    </w:rPr>
                  </w:pPr>
                  <w:r w:rsidRPr="003453D2">
                    <w:rPr>
                      <w:rFonts w:asciiTheme="majorHAnsi" w:eastAsia="Times New Roman" w:hAnsiTheme="majorHAnsi" w:cstheme="majorHAnsi"/>
                      <w:color w:val="222222"/>
                      <w:sz w:val="26"/>
                      <w:szCs w:val="26"/>
                      <w:lang w:eastAsia="vi-VN"/>
                    </w:rPr>
                    <w:t>6. Điện thoại/Fax/Email</w:t>
                  </w:r>
                  <w:r w:rsidR="003453D2" w:rsidRPr="003453D2">
                    <w:rPr>
                      <w:rFonts w:asciiTheme="majorHAnsi" w:eastAsia="Times New Roman" w:hAnsiTheme="majorHAnsi" w:cstheme="majorHAnsi"/>
                      <w:color w:val="222222"/>
                      <w:sz w:val="26"/>
                      <w:szCs w:val="26"/>
                      <w:lang w:val="en-US" w:eastAsia="vi-VN"/>
                    </w:rPr>
                    <w:t xml:space="preserve">: </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7. Loại hình tổ chức:.....................................................................................................</w:t>
                  </w:r>
                </w:p>
              </w:tc>
            </w:tr>
            <w:tr w:rsidR="009202F3" w:rsidRPr="009202F3" w:rsidTr="003453D2">
              <w:tc>
                <w:tcPr>
                  <w:tcW w:w="2403" w:type="pct"/>
                  <w:gridSpan w:val="2"/>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đầu tư</w:t>
                  </w:r>
                </w:p>
              </w:tc>
              <w:tc>
                <w:tcPr>
                  <w:tcW w:w="2597" w:type="pct"/>
                  <w:gridSpan w:val="2"/>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Không phải lả quỹ đầu tư</w:t>
                  </w:r>
                </w:p>
              </w:tc>
            </w:tr>
            <w:tr w:rsidR="009202F3" w:rsidRPr="009202F3" w:rsidTr="003453D2">
              <w:tc>
                <w:tcPr>
                  <w:tcW w:w="2403" w:type="pct"/>
                  <w:gridSpan w:val="2"/>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Loại hình</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mở dạng pháp nhân.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mở dạng hợp đồng</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tín thác</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thành viên/quỹ tư nhân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hưu trí</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đóng</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ETF, Quỹ chỉ số</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của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mẹ - con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được quản lý bởi nhiều công ty quản lý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Loại hình khác (ghi rõ) __________</w:t>
                  </w:r>
                </w:p>
              </w:tc>
              <w:tc>
                <w:tcPr>
                  <w:tcW w:w="2597" w:type="pct"/>
                  <w:gridSpan w:val="2"/>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Loại hình</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Ngân hàng thương mại</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Ngân hàng đầu tư</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Công ty bảo hiểm</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Công ty chứng khoán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Công ty quản lý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Chi nhánh công ty quản lý quỹ nước ngoài tại Việt Nam</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Tổ chức kinh tế có vốn đầu tư nước ngoài theo quy định tại khoản 1 Điều 143 Nghị định này</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Tổ chức đầu tư thuộc chính phủ nước ngoài; tổ chức đầu tư, tài chính thuộc tổ chức quốc tế mà Việt Nam là thành viên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Tổ chức được quản lý bởi nhiều công ty quản lý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lastRenderedPageBreak/>
                    <w:t>□ Tổ chức phát hành chứng chỉ lưu ký tại nước ngoài</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Loại hình khác (ghi rõ) _________</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lastRenderedPageBreak/>
                    <w:t>Kê khai tỷ lệ sở hữu của nhà đầu tư nước ngoài đối với tổ chức kinh tế có vốn đầu tư nước ngoài theo quy định tại khoản 1 Điều 143 Nghị định này.</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Tổng số lượng cổ phần của nhà đầu tư nước ngoài:...</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Tỷ lệ cổ phần của nhà đầu tư nước ngoài/tổng số lượng cổ phần: …</w:t>
                  </w:r>
                </w:p>
              </w:tc>
            </w:tr>
            <w:tr w:rsidR="009202F3" w:rsidRPr="009202F3" w:rsidTr="003453D2">
              <w:tc>
                <w:tcPr>
                  <w:tcW w:w="2403" w:type="pct"/>
                  <w:gridSpan w:val="2"/>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Trường hợp là quỹ con, quỹ quản lý bởi nhiều công ty quản lý quỹ, tổ chức đã được cấp mã số giao dịch chứng khoán, bổ sung thêm các thông tin sau:</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Mã số giao dịch chứng khoán của tổ chức liên quan theo quy định (nhóm nhà đầu tư nước ngoài có liên quan);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Mối quan hệ giữa tổ chức đăng ký mã số giao dịch chứng khoán và tổ chức đã có mã số giao dịch chứng khoán: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con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được tài trợ từ một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Quỹ/tổ chức quản lý bởi nhiều công ty quản lý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quản lý bởi cùng một công ty quản lý quỹ</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Quỹ có cùng một đại diện giao dịch</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Tổ chức đầu tư thuộc chính phủ nước ngoài; tổ chức đầu tư, tài chính thuộc tổ chức quốc tế mà Việt Nam là thành viên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Loại hình quan hệ khác (ghi rõ) ______</w:t>
                  </w:r>
                </w:p>
              </w:tc>
              <w:tc>
                <w:tcPr>
                  <w:tcW w:w="2597" w:type="pct"/>
                  <w:gridSpan w:val="2"/>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Trường hợp là công ty chứng khoán, bổ sung thêm các thông tin sau:</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Mã số cho tài khoản môi giới</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Mã số cho tài khoản tự doanh</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Trường hợp công ty chứng khoán/công ty mẹ/bộ phận kinh doanh độc lập của một tổ chức đã được cấp một mã số giao dịch chứng khoán, đề nghị cung cấp thông tin về:</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Mã số đã được cấp.</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Mối quan hệ giữa tổ chức đăng ký mã số giao dịch chứng khoán và tổ chức đã có mã số giao dịch chứng khoán: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Là công ty con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Là công ty trong cùng tập đoàn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Loại hình quan hệ khác (ghi rõ)______</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8. Thông tin về nhóm nhà đầu tư nước ngoài có liên quan của tổ chức đề nghị cấp mã số giao dịch chứng khoán (nếu có)</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a) Người có liên quan theo quy định về nhóm nhà đầu tư nước ngoài có liên quan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Tên: ............................................................................. Mã số giao dịch chứng khoán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Tên: ............................................................................. Mã số giao dịch chứng khoán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b) Người có liên quan theo quy định về nhóm nhà đầu tư nước ngoài có liên quan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Tên: ............................................................................. Mã số giao dịch chứng khoán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Tên:.............................................................................. Mã số giao dịch chứng khoán</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9. Phương án kinh doanh tại Việt Nam:</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Dài hạn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Ngắn hạn</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Quy mô vốn tối đa dự kiến đầu tư:</w:t>
                  </w:r>
                  <w:r w:rsidR="003453D2" w:rsidRPr="003453D2">
                    <w:rPr>
                      <w:rFonts w:asciiTheme="majorHAnsi" w:eastAsia="Times New Roman" w:hAnsiTheme="majorHAnsi" w:cstheme="majorHAnsi"/>
                      <w:color w:val="222222"/>
                      <w:sz w:val="26"/>
                      <w:szCs w:val="26"/>
                      <w:lang w:eastAsia="vi-VN"/>
                    </w:rPr>
                    <w:t xml:space="preserve">  </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Thời hạn dự kiến đầu tư:</w:t>
                  </w:r>
                  <w:r w:rsidR="003453D2" w:rsidRPr="003453D2">
                    <w:rPr>
                      <w:rFonts w:asciiTheme="majorHAnsi" w:eastAsia="Times New Roman" w:hAnsiTheme="majorHAnsi" w:cstheme="majorHAnsi"/>
                      <w:color w:val="222222"/>
                      <w:sz w:val="26"/>
                      <w:szCs w:val="26"/>
                      <w:lang w:eastAsia="vi-VN"/>
                    </w:rPr>
                    <w:t xml:space="preserve"> </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Cơ cấu tài sản dự kiến:</w:t>
                  </w:r>
                </w:p>
                <w:tbl>
                  <w:tblPr>
                    <w:tblW w:w="5000" w:type="pct"/>
                    <w:shd w:val="clear" w:color="auto" w:fill="FFFFFF"/>
                    <w:tblCellMar>
                      <w:left w:w="0" w:type="dxa"/>
                      <w:right w:w="0" w:type="dxa"/>
                    </w:tblCellMar>
                    <w:tblLook w:val="04A0" w:firstRow="1" w:lastRow="0" w:firstColumn="1" w:lastColumn="0" w:noHBand="0" w:noVBand="1"/>
                  </w:tblPr>
                  <w:tblGrid>
                    <w:gridCol w:w="2011"/>
                    <w:gridCol w:w="1054"/>
                    <w:gridCol w:w="1150"/>
                    <w:gridCol w:w="1053"/>
                    <w:gridCol w:w="1053"/>
                    <w:gridCol w:w="862"/>
                    <w:gridCol w:w="1053"/>
                    <w:gridCol w:w="1053"/>
                  </w:tblGrid>
                  <w:tr w:rsidR="009202F3" w:rsidRPr="003453D2">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Công cụ</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Trái phiếu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Cổ phiếu</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Bất động sản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Các công cụ khác</w:t>
                        </w:r>
                      </w:p>
                    </w:tc>
                  </w:tr>
                  <w:tr w:rsidR="009202F3" w:rsidRPr="003453D2">
                    <w:tc>
                      <w:tcPr>
                        <w:tcW w:w="1050" w:type="pct"/>
                        <w:tcBorders>
                          <w:top w:val="nil"/>
                          <w:left w:val="single" w:sz="8" w:space="0" w:color="auto"/>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Kỳ hạn</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Ngắn hạn (&lt;1 năm)</w:t>
                        </w:r>
                      </w:p>
                    </w:tc>
                    <w:tc>
                      <w:tcPr>
                        <w:tcW w:w="60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Trung hạn (1-2 năm)</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Dài hạn (&gt;2 năm)</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Niêm yết</w:t>
                        </w:r>
                      </w:p>
                    </w:tc>
                    <w:tc>
                      <w:tcPr>
                        <w:tcW w:w="4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jc w:val="center"/>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Chưa niêm yết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color w:val="222222"/>
                            <w:sz w:val="26"/>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color w:val="222222"/>
                            <w:sz w:val="26"/>
                            <w:szCs w:val="26"/>
                            <w:lang w:eastAsia="vi-VN"/>
                          </w:rPr>
                        </w:pPr>
                      </w:p>
                    </w:tc>
                  </w:tr>
                  <w:tr w:rsidR="009202F3" w:rsidRPr="003453D2">
                    <w:tc>
                      <w:tcPr>
                        <w:tcW w:w="1050" w:type="pct"/>
                        <w:tcBorders>
                          <w:top w:val="nil"/>
                          <w:left w:val="single" w:sz="8" w:space="0" w:color="auto"/>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Phân bổ tài sản (%)</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1000" w:type="pct"/>
                        <w:gridSpan w:val="2"/>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val="en-US" w:eastAsia="vi-VN"/>
                          </w:rPr>
                        </w:pPr>
                        <w:r w:rsidRPr="003453D2">
                          <w:rPr>
                            <w:rFonts w:asciiTheme="majorHAnsi" w:eastAsia="Times New Roman" w:hAnsiTheme="majorHAnsi" w:cstheme="majorHAnsi"/>
                            <w:color w:val="222222"/>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r>
                  <w:tr w:rsidR="009202F3" w:rsidRPr="003453D2">
                    <w:tc>
                      <w:tcPr>
                        <w:tcW w:w="2400"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color w:val="222222"/>
                            <w:sz w:val="26"/>
                            <w:szCs w:val="26"/>
                            <w:lang w:eastAsia="vi-VN"/>
                          </w:rPr>
                        </w:pPr>
                      </w:p>
                    </w:tc>
                    <w:tc>
                      <w:tcPr>
                        <w:tcW w:w="1260"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c>
                      <w:tcPr>
                        <w:tcW w:w="1350"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c>
                      <w:tcPr>
                        <w:tcW w:w="1305"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c>
                      <w:tcPr>
                        <w:tcW w:w="1230"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c>
                      <w:tcPr>
                        <w:tcW w:w="1065"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c>
                      <w:tcPr>
                        <w:tcW w:w="1305"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c>
                      <w:tcPr>
                        <w:tcW w:w="1275" w:type="dxa"/>
                        <w:tcBorders>
                          <w:top w:val="nil"/>
                          <w:left w:val="nil"/>
                          <w:bottom w:val="nil"/>
                          <w:right w:val="nil"/>
                        </w:tcBorders>
                        <w:shd w:val="clear" w:color="auto" w:fill="FFFFFF"/>
                        <w:vAlign w:val="center"/>
                        <w:hideMark/>
                      </w:tcPr>
                      <w:p w:rsidR="009202F3" w:rsidRPr="003453D2" w:rsidRDefault="009202F3" w:rsidP="009202F3">
                        <w:pPr>
                          <w:spacing w:after="0" w:line="240" w:lineRule="auto"/>
                          <w:rPr>
                            <w:rFonts w:asciiTheme="majorHAnsi" w:eastAsia="Times New Roman" w:hAnsiTheme="majorHAnsi" w:cstheme="majorHAnsi"/>
                            <w:sz w:val="26"/>
                            <w:szCs w:val="26"/>
                            <w:lang w:eastAsia="vi-VN"/>
                          </w:rPr>
                        </w:pPr>
                      </w:p>
                    </w:tc>
                  </w:tr>
                </w:tbl>
                <w:p w:rsidR="009202F3" w:rsidRPr="003453D2" w:rsidRDefault="009202F3" w:rsidP="009202F3">
                  <w:pPr>
                    <w:spacing w:after="0" w:line="240" w:lineRule="auto"/>
                    <w:rPr>
                      <w:rFonts w:asciiTheme="majorHAnsi" w:eastAsia="Times New Roman" w:hAnsiTheme="majorHAnsi" w:cstheme="majorHAnsi"/>
                      <w:color w:val="333333"/>
                      <w:sz w:val="26"/>
                      <w:szCs w:val="26"/>
                      <w:lang w:eastAsia="vi-VN"/>
                    </w:rPr>
                  </w:pP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vAlign w:val="bottom"/>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10. Cam kết: (có hiệu lực kể từ ngày ký)</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10.1. Trên cơ sở các quy định tại Điều lệ Công ty/Giấy phép thành lập hoặc các tài liệu tương đương, chiến lược đầu tư và giao dịch của chúng tôi nhằm mục đích sau:</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Đầu tư □ Đầu cơ</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10.2. Chúng tôi cam đoan rằng những thông tin nêu trên cùng nội dung của toàn bộ hồ sơ và các tài liệu kèm theo là hoàn toàn chính xác, trung thực. Chúng tôi hoàn toàn chịu trách nhiệm về các thông tin kê khai này.</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10.3. Chúng tôi xin cam kết tuân thủ các quy định về chứng khoán và thị trường chứng khoán tại Việt Nam, chúng tôi sẽ không có các hành vi giao dịch trái luật làm ảnh hưởng tới sự công bằng và trật tự thị trường tài chính, thị trường chứng khoán của Việt Nam.</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11. Trường hợp quỹ, tổ chức thuộc trường hợp được cấp nhiều mã số giao dịch đăng ký mã số giao dịch chứng khoán cho danh mục đầu tư mà tổ chức tư quản lý:</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Chúng tôi cam kết mã số giao dịch này dành cho danh mục đầu tư mà chúng tôi tự đầu tư, quản lý.</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12. Thông tin cơ bản về tổ chức đầu tư (trường hợp tổ chức đầu tư không phải là quỹ đầu tư).</w:t>
                  </w:r>
                </w:p>
              </w:tc>
            </w:tr>
            <w:tr w:rsidR="009202F3" w:rsidRPr="009202F3" w:rsidTr="003453D2">
              <w:tc>
                <w:tcPr>
                  <w:tcW w:w="1586" w:type="pct"/>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Tên các cổ đông nắm giữ từ 5% trở lên phần vốn góp, vốn điều lệ của tổ chức đầu tư</w:t>
                  </w:r>
                </w:p>
              </w:tc>
              <w:tc>
                <w:tcPr>
                  <w:tcW w:w="1778" w:type="pct"/>
                  <w:gridSpan w:val="2"/>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Quốc tịch/Quốc gia nơi thành lập/Quốc gia nơi đặt trụ sở chính</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Giấy chứng nhận đăng ký kinh doanh/ CMND/CCCD/Hộ chiếu</w:t>
                  </w:r>
                </w:p>
              </w:tc>
            </w:tr>
            <w:tr w:rsidR="009202F3" w:rsidRPr="009202F3" w:rsidTr="003453D2">
              <w:tc>
                <w:tcPr>
                  <w:tcW w:w="1586" w:type="pct"/>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1778" w:type="pct"/>
                  <w:gridSpan w:val="2"/>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13. Các thông tin khác</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Tên và địa chỉ liên lạc</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Công ty quản lý quỹ nước ngoài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val="en-US"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Công ty quản lý quỹ tại Việt Nam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Tổ chức nhận ủy thác/Ngân hàng Giám sát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Ngân hàng lưu ký toàn cầu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Thành viên lưu ký tại Việt Nam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eastAsia="vi-VN"/>
                    </w:rPr>
                    <w:t>Công ty Cổ phần Chứng khoán KIS Việt Nam</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Công ty Chứng khoán tại Việt Nam (nếu có, liệt kê tất cả)</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Văn phòng đại diện tại Việt Nam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Đại diện giao dịch tại Việt Nam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Người được ủy quyền báo cáo, công bố thông tin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3364" w:type="pct"/>
                  <w:gridSpan w:val="3"/>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Người liên lạc (nếu có)</w:t>
                  </w:r>
                </w:p>
              </w:tc>
              <w:tc>
                <w:tcPr>
                  <w:tcW w:w="1636" w:type="pct"/>
                  <w:tcBorders>
                    <w:top w:val="nil"/>
                    <w:left w:val="nil"/>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w:t>
                  </w:r>
                  <w:r w:rsidR="001C537A" w:rsidRPr="003453D2">
                    <w:rPr>
                      <w:rFonts w:asciiTheme="majorHAnsi" w:eastAsia="Times New Roman" w:hAnsiTheme="majorHAnsi" w:cstheme="majorHAnsi"/>
                      <w:color w:val="222222"/>
                      <w:sz w:val="26"/>
                      <w:szCs w:val="26"/>
                      <w:lang w:val="en-US" w:eastAsia="vi-VN"/>
                    </w:rPr>
                    <w:t>N/A</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Hồ sơ kèm theo</w:t>
                  </w:r>
                </w:p>
              </w:tc>
            </w:tr>
            <w:tr w:rsidR="009202F3" w:rsidRPr="009202F3" w:rsidTr="003453D2">
              <w:tc>
                <w:tcPr>
                  <w:tcW w:w="5000" w:type="pct"/>
                  <w:gridSpan w:val="4"/>
                  <w:tcBorders>
                    <w:top w:val="nil"/>
                    <w:left w:val="single" w:sz="8" w:space="0" w:color="auto"/>
                    <w:bottom w:val="single" w:sz="8" w:space="0" w:color="auto"/>
                    <w:right w:val="single" w:sz="8" w:space="0" w:color="auto"/>
                  </w:tcBorders>
                  <w:shd w:val="clear" w:color="auto" w:fill="FFFFFF"/>
                  <w:vAlign w:val="bottom"/>
                  <w:hideMark/>
                </w:tcPr>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Tổ chức đăng ký: ........................................................................................................</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xml:space="preserve">Đại diện có thẩm quyền của nhà đầu tư nước ngoài ký tên, </w:t>
                  </w:r>
                  <w:r w:rsidR="003453D2" w:rsidRPr="003453D2">
                    <w:rPr>
                      <w:rFonts w:asciiTheme="majorHAnsi" w:eastAsia="Times New Roman" w:hAnsiTheme="majorHAnsi" w:cstheme="majorHAnsi"/>
                      <w:color w:val="222222"/>
                      <w:sz w:val="26"/>
                      <w:szCs w:val="26"/>
                      <w:lang w:eastAsia="vi-VN"/>
                    </w:rPr>
                    <w:t>đóng dấu (nếu có): …</w:t>
                  </w:r>
                </w:p>
                <w:p w:rsidR="003453D2" w:rsidRPr="003453D2" w:rsidRDefault="003453D2" w:rsidP="009202F3">
                  <w:pPr>
                    <w:spacing w:before="120" w:after="100" w:afterAutospacing="1" w:line="240" w:lineRule="auto"/>
                    <w:rPr>
                      <w:rFonts w:asciiTheme="majorHAnsi" w:eastAsia="Times New Roman" w:hAnsiTheme="majorHAnsi" w:cstheme="majorHAnsi"/>
                      <w:color w:val="222222"/>
                      <w:sz w:val="26"/>
                      <w:szCs w:val="26"/>
                      <w:lang w:eastAsia="vi-VN"/>
                    </w:rPr>
                  </w:pPr>
                  <w:bookmarkStart w:id="0" w:name="_GoBack"/>
                  <w:bookmarkEnd w:id="0"/>
                </w:p>
                <w:p w:rsidR="009202F3" w:rsidRPr="00930B2B"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 xml:space="preserve">Chức danh: </w:t>
                  </w:r>
                </w:p>
                <w:p w:rsidR="009202F3" w:rsidRPr="003453D2" w:rsidRDefault="009202F3" w:rsidP="009202F3">
                  <w:pPr>
                    <w:spacing w:before="120" w:after="100" w:afterAutospacing="1" w:line="240" w:lineRule="auto"/>
                    <w:rPr>
                      <w:rFonts w:asciiTheme="majorHAnsi" w:eastAsia="Times New Roman" w:hAnsiTheme="majorHAnsi" w:cstheme="majorHAnsi"/>
                      <w:color w:val="222222"/>
                      <w:sz w:val="26"/>
                      <w:szCs w:val="26"/>
                      <w:lang w:eastAsia="vi-VN"/>
                    </w:rPr>
                  </w:pPr>
                  <w:r w:rsidRPr="003453D2">
                    <w:rPr>
                      <w:rFonts w:asciiTheme="majorHAnsi" w:eastAsia="Times New Roman" w:hAnsiTheme="majorHAnsi" w:cstheme="majorHAnsi"/>
                      <w:color w:val="222222"/>
                      <w:sz w:val="26"/>
                      <w:szCs w:val="26"/>
                      <w:lang w:eastAsia="vi-VN"/>
                    </w:rPr>
                    <w:t>Ngày thực hiện:............................................................................................................</w:t>
                  </w:r>
                </w:p>
              </w:tc>
            </w:tr>
          </w:tbl>
          <w:p w:rsidR="005503C6" w:rsidRPr="003453D2" w:rsidRDefault="005503C6" w:rsidP="007310BB">
            <w:pPr>
              <w:spacing w:before="120" w:after="100" w:afterAutospacing="1"/>
              <w:rPr>
                <w:rFonts w:asciiTheme="majorHAnsi" w:hAnsiTheme="majorHAnsi" w:cstheme="majorHAnsi"/>
                <w:color w:val="222222"/>
                <w:sz w:val="26"/>
                <w:szCs w:val="26"/>
              </w:rPr>
            </w:pPr>
          </w:p>
        </w:tc>
      </w:tr>
    </w:tbl>
    <w:p w:rsidR="00CB005E" w:rsidRPr="00A84691" w:rsidRDefault="00CB005E">
      <w:pPr>
        <w:rPr>
          <w:rFonts w:asciiTheme="majorHAnsi" w:hAnsiTheme="majorHAnsi" w:cstheme="majorHAnsi"/>
          <w:sz w:val="26"/>
          <w:szCs w:val="26"/>
        </w:rPr>
      </w:pPr>
    </w:p>
    <w:sectPr w:rsidR="00CB005E" w:rsidRPr="00A846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5A"/>
    <w:rsid w:val="00011F98"/>
    <w:rsid w:val="00015E2C"/>
    <w:rsid w:val="00110D26"/>
    <w:rsid w:val="001C537A"/>
    <w:rsid w:val="00261BD9"/>
    <w:rsid w:val="002707A9"/>
    <w:rsid w:val="002C4C65"/>
    <w:rsid w:val="0032755B"/>
    <w:rsid w:val="003453D2"/>
    <w:rsid w:val="005503C6"/>
    <w:rsid w:val="005E31B0"/>
    <w:rsid w:val="007310BB"/>
    <w:rsid w:val="009202F3"/>
    <w:rsid w:val="00930B2B"/>
    <w:rsid w:val="00A45B5A"/>
    <w:rsid w:val="00A802B1"/>
    <w:rsid w:val="00A84691"/>
    <w:rsid w:val="00B26E7B"/>
    <w:rsid w:val="00CB005E"/>
    <w:rsid w:val="00CB5941"/>
    <w:rsid w:val="00D653FB"/>
    <w:rsid w:val="00FC27E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C622"/>
  <w15:chartTrackingRefBased/>
  <w15:docId w15:val="{B45A1561-CBA6-497C-86BF-D4C1FF7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169">
      <w:bodyDiv w:val="1"/>
      <w:marLeft w:val="0"/>
      <w:marRight w:val="0"/>
      <w:marTop w:val="0"/>
      <w:marBottom w:val="0"/>
      <w:divBdr>
        <w:top w:val="none" w:sz="0" w:space="0" w:color="auto"/>
        <w:left w:val="none" w:sz="0" w:space="0" w:color="auto"/>
        <w:bottom w:val="none" w:sz="0" w:space="0" w:color="auto"/>
        <w:right w:val="none" w:sz="0" w:space="0" w:color="auto"/>
      </w:divBdr>
    </w:div>
    <w:div w:id="1465003497">
      <w:bodyDiv w:val="1"/>
      <w:marLeft w:val="0"/>
      <w:marRight w:val="0"/>
      <w:marTop w:val="0"/>
      <w:marBottom w:val="0"/>
      <w:divBdr>
        <w:top w:val="none" w:sz="0" w:space="0" w:color="auto"/>
        <w:left w:val="none" w:sz="0" w:space="0" w:color="auto"/>
        <w:bottom w:val="none" w:sz="0" w:space="0" w:color="auto"/>
        <w:right w:val="none" w:sz="0" w:space="0" w:color="auto"/>
      </w:divBdr>
    </w:div>
    <w:div w:id="1660420895">
      <w:bodyDiv w:val="1"/>
      <w:marLeft w:val="0"/>
      <w:marRight w:val="0"/>
      <w:marTop w:val="0"/>
      <w:marBottom w:val="0"/>
      <w:divBdr>
        <w:top w:val="none" w:sz="0" w:space="0" w:color="auto"/>
        <w:left w:val="none" w:sz="0" w:space="0" w:color="auto"/>
        <w:bottom w:val="none" w:sz="0" w:space="0" w:color="auto"/>
        <w:right w:val="none" w:sz="0" w:space="0" w:color="auto"/>
      </w:divBdr>
    </w:div>
    <w:div w:id="1679456369">
      <w:bodyDiv w:val="1"/>
      <w:marLeft w:val="0"/>
      <w:marRight w:val="0"/>
      <w:marTop w:val="0"/>
      <w:marBottom w:val="0"/>
      <w:divBdr>
        <w:top w:val="none" w:sz="0" w:space="0" w:color="auto"/>
        <w:left w:val="none" w:sz="0" w:space="0" w:color="auto"/>
        <w:bottom w:val="none" w:sz="0" w:space="0" w:color="auto"/>
        <w:right w:val="none" w:sz="0" w:space="0" w:color="auto"/>
      </w:divBdr>
    </w:div>
    <w:div w:id="1739084886">
      <w:bodyDiv w:val="1"/>
      <w:marLeft w:val="0"/>
      <w:marRight w:val="0"/>
      <w:marTop w:val="0"/>
      <w:marBottom w:val="0"/>
      <w:divBdr>
        <w:top w:val="none" w:sz="0" w:space="0" w:color="auto"/>
        <w:left w:val="none" w:sz="0" w:space="0" w:color="auto"/>
        <w:bottom w:val="none" w:sz="0" w:space="0" w:color="auto"/>
        <w:right w:val="none" w:sz="0" w:space="0" w:color="auto"/>
      </w:divBdr>
    </w:div>
    <w:div w:id="17893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Thi Thu Thuy</dc:creator>
  <cp:keywords/>
  <dc:description/>
  <cp:lastModifiedBy>admin</cp:lastModifiedBy>
  <cp:revision>19</cp:revision>
  <dcterms:created xsi:type="dcterms:W3CDTF">2021-01-21T09:52:00Z</dcterms:created>
  <dcterms:modified xsi:type="dcterms:W3CDTF">2021-12-23T03:40:00Z</dcterms:modified>
</cp:coreProperties>
</file>